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49E" w:rsidRDefault="0091049E" w:rsidP="0091049E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Corporate Social Responsibility in Videogames – Presentation Outline</w:t>
      </w:r>
    </w:p>
    <w:p w:rsidR="0091049E" w:rsidRDefault="0091049E" w:rsidP="0091049E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Lovneet Aujla </w:t>
      </w:r>
    </w:p>
    <w:p w:rsidR="0091049E" w:rsidRDefault="0091049E" w:rsidP="0091049E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LAW 423C – Jon Festinger</w:t>
      </w:r>
    </w:p>
    <w:p w:rsidR="0091049E" w:rsidRDefault="0091049E" w:rsidP="0091049E">
      <w:pPr>
        <w:rPr>
          <w:rFonts w:asciiTheme="minorBidi" w:hAnsiTheme="minorBidi"/>
          <w:sz w:val="24"/>
          <w:szCs w:val="24"/>
        </w:rPr>
      </w:pPr>
    </w:p>
    <w:p w:rsidR="0091049E" w:rsidRDefault="0091049E" w:rsidP="00AF4FD0">
      <w:pPr>
        <w:shd w:val="clear" w:color="auto" w:fill="D9E2F3" w:themeFill="accent1" w:themeFillTint="3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Introduction</w:t>
      </w:r>
    </w:p>
    <w:p w:rsidR="0091049E" w:rsidRPr="00E25588" w:rsidRDefault="0091049E" w:rsidP="0091049E">
      <w:pPr>
        <w:rPr>
          <w:rFonts w:asciiTheme="minorBidi" w:hAnsiTheme="minorBidi"/>
        </w:rPr>
      </w:pPr>
      <w:r w:rsidRPr="00E25588">
        <w:rPr>
          <w:rFonts w:asciiTheme="minorBidi" w:hAnsiTheme="minorBidi"/>
        </w:rPr>
        <w:t xml:space="preserve">Framing the issue: </w:t>
      </w:r>
    </w:p>
    <w:p w:rsidR="0091049E" w:rsidRPr="000D0002" w:rsidRDefault="0091049E" w:rsidP="0091049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0D0002">
        <w:rPr>
          <w:rFonts w:asciiTheme="minorBidi" w:hAnsiTheme="minorBidi"/>
          <w:b/>
          <w:bCs/>
        </w:rPr>
        <w:t>videogames have evolved</w:t>
      </w:r>
      <w:r w:rsidRPr="000D0002">
        <w:rPr>
          <w:rFonts w:asciiTheme="minorBidi" w:hAnsiTheme="minorBidi"/>
        </w:rPr>
        <w:t xml:space="preserve"> </w:t>
      </w:r>
      <w:r w:rsidRPr="000D0002">
        <w:rPr>
          <w:rFonts w:asciiTheme="minorBidi" w:hAnsiTheme="minorBidi"/>
          <w:b/>
          <w:bCs/>
        </w:rPr>
        <w:t>beyond the game itself</w:t>
      </w:r>
      <w:r w:rsidRPr="000D0002">
        <w:rPr>
          <w:rFonts w:asciiTheme="minorBidi" w:hAnsiTheme="minorBidi"/>
        </w:rPr>
        <w:t>, there are economic, social and policy implications for both the physical world and virtual that need to be addressed.</w:t>
      </w:r>
      <w:r w:rsidRPr="000D0002">
        <w:rPr>
          <w:rStyle w:val="FootnoteReference"/>
          <w:rFonts w:asciiTheme="minorBidi" w:hAnsiTheme="minorBidi"/>
        </w:rPr>
        <w:footnoteReference w:id="1"/>
      </w:r>
    </w:p>
    <w:p w:rsidR="0091049E" w:rsidRPr="000D0002" w:rsidRDefault="0091049E" w:rsidP="0091049E">
      <w:pPr>
        <w:pStyle w:val="ListParagraph"/>
        <w:rPr>
          <w:rFonts w:asciiTheme="minorBidi" w:hAnsiTheme="minorBidi"/>
        </w:rPr>
      </w:pPr>
    </w:p>
    <w:p w:rsidR="0091049E" w:rsidRPr="000D0002" w:rsidRDefault="0091049E" w:rsidP="0091049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0D0002">
        <w:rPr>
          <w:rFonts w:ascii="Arial" w:hAnsi="Arial" w:cs="Arial"/>
        </w:rPr>
        <w:t xml:space="preserve">“Referring to </w:t>
      </w:r>
      <w:r w:rsidRPr="000D0002">
        <w:rPr>
          <w:rFonts w:ascii="Arial" w:hAnsi="Arial" w:cs="Arial"/>
          <w:b/>
          <w:bCs/>
        </w:rPr>
        <w:t>[videogames] as</w:t>
      </w:r>
      <w:r w:rsidRPr="000D0002">
        <w:rPr>
          <w:rFonts w:ascii="Arial" w:hAnsi="Arial" w:cs="Arial"/>
        </w:rPr>
        <w:t xml:space="preserve"> </w:t>
      </w:r>
      <w:r w:rsidRPr="000D0002">
        <w:rPr>
          <w:rFonts w:ascii="Arial" w:hAnsi="Arial" w:cs="Arial"/>
          <w:b/>
          <w:bCs/>
        </w:rPr>
        <w:t>worlds</w:t>
      </w:r>
      <w:r w:rsidRPr="000D0002">
        <w:rPr>
          <w:rFonts w:ascii="Arial" w:hAnsi="Arial" w:cs="Arial"/>
        </w:rPr>
        <w:t xml:space="preserve"> captures the open-ended and broad nature of these arenas, pointing to the ever-increasing possibilities for action within them.”</w:t>
      </w:r>
      <w:r w:rsidRPr="000D0002">
        <w:rPr>
          <w:rStyle w:val="FootnoteReference"/>
          <w:rFonts w:ascii="Arial" w:hAnsi="Arial" w:cs="Arial"/>
        </w:rPr>
        <w:footnoteReference w:id="2"/>
      </w:r>
      <w:r w:rsidRPr="000D0002">
        <w:rPr>
          <w:rFonts w:ascii="Arial" w:hAnsi="Arial" w:cs="Arial"/>
        </w:rPr>
        <w:t xml:space="preserve"> In this context, </w:t>
      </w:r>
      <w:r w:rsidRPr="000D0002">
        <w:rPr>
          <w:rFonts w:ascii="Arial" w:hAnsi="Arial" w:cs="Arial"/>
          <w:b/>
          <w:bCs/>
        </w:rPr>
        <w:t>videogames are better understood as metaverses – extensions of the physical world, to which “they add new dimensions and domains for economic, social, and leisure activities</w:t>
      </w:r>
      <w:r w:rsidRPr="000D0002">
        <w:rPr>
          <w:rFonts w:ascii="Arial" w:hAnsi="Arial" w:cs="Arial"/>
        </w:rPr>
        <w:t>.”</w:t>
      </w:r>
      <w:r w:rsidRPr="000D0002">
        <w:rPr>
          <w:rStyle w:val="FootnoteReference"/>
          <w:rFonts w:ascii="Arial" w:hAnsi="Arial" w:cs="Arial"/>
        </w:rPr>
        <w:footnoteReference w:id="3"/>
      </w:r>
    </w:p>
    <w:p w:rsidR="0091049E" w:rsidRPr="000D0002" w:rsidRDefault="0091049E" w:rsidP="0091049E">
      <w:pPr>
        <w:pStyle w:val="ListParagraph"/>
        <w:rPr>
          <w:rFonts w:asciiTheme="minorBidi" w:hAnsiTheme="minorBidi"/>
        </w:rPr>
      </w:pPr>
    </w:p>
    <w:p w:rsidR="0091049E" w:rsidRPr="000D0002" w:rsidRDefault="0091049E" w:rsidP="0091049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0D0002">
        <w:rPr>
          <w:rFonts w:asciiTheme="minorBidi" w:hAnsiTheme="minorBidi"/>
        </w:rPr>
        <w:t>“</w:t>
      </w:r>
      <w:r w:rsidRPr="000D0002">
        <w:rPr>
          <w:rFonts w:asciiTheme="minorBidi" w:hAnsiTheme="minorBidi"/>
        </w:rPr>
        <w:t>The</w:t>
      </w:r>
      <w:r w:rsidRPr="000D0002">
        <w:rPr>
          <w:rFonts w:asciiTheme="minorBidi" w:hAnsiTheme="minorBidi"/>
        </w:rPr>
        <w:t xml:space="preserve"> online videogame industry has, by and large to date, escaped governmental action.”</w:t>
      </w:r>
      <w:r w:rsidRPr="000D0002">
        <w:rPr>
          <w:rStyle w:val="FootnoteReference"/>
          <w:rFonts w:asciiTheme="minorBidi" w:hAnsiTheme="minorBidi"/>
        </w:rPr>
        <w:footnoteReference w:id="4"/>
      </w:r>
    </w:p>
    <w:p w:rsidR="000D0002" w:rsidRPr="000D0002" w:rsidRDefault="000D0002" w:rsidP="000D0002">
      <w:pPr>
        <w:pStyle w:val="ListParagraph"/>
        <w:rPr>
          <w:rFonts w:asciiTheme="minorBidi" w:hAnsiTheme="minorBidi"/>
        </w:rPr>
      </w:pPr>
    </w:p>
    <w:p w:rsidR="000D0002" w:rsidRPr="000D0002" w:rsidRDefault="000D0002" w:rsidP="0091049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0D0002">
        <w:rPr>
          <w:rFonts w:asciiTheme="minorBidi" w:hAnsiTheme="minorBidi"/>
        </w:rPr>
        <w:t xml:space="preserve">Possible </w:t>
      </w:r>
      <w:r>
        <w:rPr>
          <w:rFonts w:asciiTheme="minorBidi" w:hAnsiTheme="minorBidi"/>
        </w:rPr>
        <w:t>solution</w:t>
      </w:r>
      <w:r w:rsidRPr="000D0002">
        <w:rPr>
          <w:rFonts w:asciiTheme="minorBidi" w:hAnsiTheme="minorBidi"/>
        </w:rPr>
        <w:t xml:space="preserve">? </w:t>
      </w:r>
      <w:r w:rsidRPr="000D0002">
        <w:rPr>
          <w:rFonts w:asciiTheme="minorBidi" w:hAnsiTheme="minorBidi"/>
          <w:i/>
          <w:iCs/>
        </w:rPr>
        <w:t>Corporate Social Responsibility</w:t>
      </w:r>
      <w:r>
        <w:rPr>
          <w:rFonts w:asciiTheme="minorBidi" w:hAnsiTheme="minorBidi"/>
          <w:i/>
          <w:iCs/>
        </w:rPr>
        <w:t xml:space="preserve"> </w:t>
      </w:r>
      <w:r w:rsidRPr="000D0002">
        <w:rPr>
          <w:rFonts w:asciiTheme="minorBidi" w:hAnsiTheme="minorBidi"/>
        </w:rPr>
        <w:sym w:font="Wingdings" w:char="F0E0"/>
      </w:r>
      <w:r>
        <w:rPr>
          <w:rFonts w:asciiTheme="minorBidi" w:hAnsiTheme="minorBidi"/>
        </w:rPr>
        <w:t xml:space="preserve"> broad interpretation of the </w:t>
      </w:r>
      <w:r>
        <w:rPr>
          <w:rFonts w:asciiTheme="minorBidi" w:hAnsiTheme="minorBidi"/>
          <w:i/>
          <w:iCs/>
        </w:rPr>
        <w:t xml:space="preserve">Canada Business Corporations Act </w:t>
      </w:r>
      <w:r>
        <w:rPr>
          <w:rFonts w:asciiTheme="minorBidi" w:hAnsiTheme="minorBidi"/>
        </w:rPr>
        <w:t>to suggest videogame players and digital worlds themselves can be characterized as corporate stakeholders</w:t>
      </w:r>
    </w:p>
    <w:p w:rsidR="000D0002" w:rsidRPr="00E25588" w:rsidRDefault="000D0002" w:rsidP="000D0002">
      <w:pPr>
        <w:pStyle w:val="ListParagraph"/>
        <w:rPr>
          <w:rFonts w:asciiTheme="minorBidi" w:hAnsiTheme="minorBidi"/>
          <w:sz w:val="24"/>
          <w:szCs w:val="24"/>
        </w:rPr>
      </w:pPr>
    </w:p>
    <w:p w:rsidR="000D0002" w:rsidRPr="00E25588" w:rsidRDefault="000D0002" w:rsidP="00AF4FD0">
      <w:pPr>
        <w:shd w:val="clear" w:color="auto" w:fill="D9E2F3" w:themeFill="accent1" w:themeFillTint="33"/>
        <w:rPr>
          <w:rFonts w:asciiTheme="minorBidi" w:hAnsiTheme="minorBidi"/>
          <w:b/>
          <w:bCs/>
          <w:sz w:val="24"/>
          <w:szCs w:val="24"/>
        </w:rPr>
      </w:pPr>
      <w:r w:rsidRPr="00E25588">
        <w:rPr>
          <w:rFonts w:asciiTheme="minorBidi" w:hAnsiTheme="minorBidi"/>
          <w:b/>
          <w:bCs/>
          <w:sz w:val="24"/>
          <w:szCs w:val="24"/>
        </w:rPr>
        <w:t xml:space="preserve">The Issue? </w:t>
      </w:r>
    </w:p>
    <w:p w:rsidR="00E25588" w:rsidRDefault="000D0002" w:rsidP="00E2558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 </w:t>
      </w:r>
      <w:r w:rsidRPr="00CD1563">
        <w:rPr>
          <w:rFonts w:asciiTheme="minorBidi" w:hAnsiTheme="minorBidi"/>
          <w:b/>
          <w:bCs/>
          <w:shd w:val="clear" w:color="auto" w:fill="D9E2F3" w:themeFill="accent1" w:themeFillTint="33"/>
        </w:rPr>
        <w:t>case study</w:t>
      </w:r>
      <w:r>
        <w:rPr>
          <w:rFonts w:asciiTheme="minorBidi" w:hAnsiTheme="minorBidi"/>
        </w:rPr>
        <w:t xml:space="preserve"> of financial, social, and physical vulnerabilities in the videogame context</w:t>
      </w:r>
    </w:p>
    <w:p w:rsidR="000D0002" w:rsidRPr="00F0676C" w:rsidRDefault="000D0002" w:rsidP="000D0002">
      <w:pPr>
        <w:rPr>
          <w:rFonts w:asciiTheme="minorBidi" w:hAnsiTheme="minorBidi"/>
          <w:b/>
          <w:bCs/>
          <w:i/>
          <w:iCs/>
        </w:rPr>
      </w:pPr>
      <w:r w:rsidRPr="00F0676C">
        <w:rPr>
          <w:rFonts w:asciiTheme="minorBidi" w:hAnsiTheme="minorBidi"/>
          <w:b/>
          <w:bCs/>
          <w:i/>
          <w:iCs/>
        </w:rPr>
        <w:t>Esports</w:t>
      </w:r>
    </w:p>
    <w:p w:rsidR="003A35C2" w:rsidRPr="003A35C2" w:rsidRDefault="000D0002" w:rsidP="003A35C2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="Arial" w:hAnsi="Arial" w:cs="Arial"/>
        </w:rPr>
        <w:t xml:space="preserve">Economic transactions in the metaverse, according to </w:t>
      </w:r>
      <w:r w:rsidRPr="00736771">
        <w:rPr>
          <w:rFonts w:ascii="Arial" w:hAnsi="Arial" w:cs="Arial"/>
        </w:rPr>
        <w:t>Papagiannidis et al</w:t>
      </w:r>
      <w:r>
        <w:rPr>
          <w:rFonts w:ascii="Arial" w:hAnsi="Arial" w:cs="Arial"/>
        </w:rPr>
        <w:t>., extend the “range and scale of economic activities”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– one instance of this is the </w:t>
      </w:r>
      <w:r>
        <w:rPr>
          <w:rFonts w:ascii="Arial" w:hAnsi="Arial" w:cs="Arial"/>
          <w:i/>
          <w:iCs/>
        </w:rPr>
        <w:t>esports industry</w:t>
      </w:r>
    </w:p>
    <w:p w:rsidR="003A35C2" w:rsidRPr="003A35C2" w:rsidRDefault="003A35C2" w:rsidP="003A35C2">
      <w:pPr>
        <w:pStyle w:val="ListParagraph"/>
        <w:rPr>
          <w:rFonts w:asciiTheme="minorBidi" w:hAnsiTheme="minorBidi"/>
        </w:rPr>
      </w:pPr>
    </w:p>
    <w:p w:rsidR="003A35C2" w:rsidRPr="003A35C2" w:rsidRDefault="003A35C2" w:rsidP="003A35C2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="Arial" w:hAnsi="Arial" w:cs="Arial"/>
        </w:rPr>
        <w:t>Esports is a “soon to-be-billion-dollar industry”</w:t>
      </w:r>
      <w:r>
        <w:rPr>
          <w:rStyle w:val="FootnoteReferenc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and there is mass entrepreneurial potential here, however, esports is also an arena of vulnerability</w:t>
      </w:r>
    </w:p>
    <w:p w:rsidR="003A35C2" w:rsidRPr="003A35C2" w:rsidRDefault="003A35C2" w:rsidP="003A35C2">
      <w:pPr>
        <w:pStyle w:val="ListParagraph"/>
        <w:rPr>
          <w:rFonts w:asciiTheme="minorBidi" w:hAnsiTheme="minorBidi"/>
        </w:rPr>
      </w:pPr>
    </w:p>
    <w:p w:rsidR="003A35C2" w:rsidRDefault="003A35C2" w:rsidP="003A35C2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Players </w:t>
      </w:r>
      <w:r w:rsidR="00F0676C">
        <w:rPr>
          <w:rFonts w:asciiTheme="minorBidi" w:hAnsiTheme="minorBidi"/>
        </w:rPr>
        <w:t>are subject to unfair contracts, and intense training to the determinant of their health; esports players face issues with burnout and lack of autonomy</w:t>
      </w:r>
      <w:r w:rsidR="00F0676C">
        <w:rPr>
          <w:rStyle w:val="FootnoteReference"/>
          <w:rFonts w:asciiTheme="minorBidi" w:hAnsiTheme="minorBidi"/>
        </w:rPr>
        <w:footnoteReference w:id="7"/>
      </w:r>
    </w:p>
    <w:p w:rsidR="00F0676C" w:rsidRDefault="00F0676C" w:rsidP="00F0676C">
      <w:pPr>
        <w:pStyle w:val="ListParagraph"/>
        <w:ind w:left="1440"/>
        <w:rPr>
          <w:rFonts w:asciiTheme="minorBidi" w:hAnsiTheme="minorBidi"/>
        </w:rPr>
      </w:pPr>
    </w:p>
    <w:p w:rsidR="00F0676C" w:rsidRPr="00F0676C" w:rsidRDefault="00F0676C" w:rsidP="00F0676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="Arial" w:hAnsi="Arial" w:cs="Arial"/>
        </w:rPr>
        <w:t>Due</w:t>
      </w:r>
      <w:r w:rsidRPr="00DA2669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 </w:t>
      </w:r>
      <w:r w:rsidRPr="00DA2669">
        <w:rPr>
          <w:rFonts w:ascii="Arial" w:hAnsi="Arial" w:cs="Arial"/>
        </w:rPr>
        <w:t>power asymmetries</w:t>
      </w:r>
      <w:r>
        <w:rPr>
          <w:rFonts w:ascii="Arial" w:hAnsi="Arial" w:cs="Arial"/>
        </w:rPr>
        <w:t xml:space="preserve"> between developer-corporations like Riot Games,</w:t>
      </w:r>
      <w:r w:rsidRPr="00DA2669">
        <w:rPr>
          <w:rFonts w:ascii="Arial" w:hAnsi="Arial" w:cs="Arial"/>
        </w:rPr>
        <w:t xml:space="preserve"> players often </w:t>
      </w:r>
      <w:proofErr w:type="gramStart"/>
      <w:r w:rsidRPr="00DA2669">
        <w:rPr>
          <w:rFonts w:ascii="Arial" w:hAnsi="Arial" w:cs="Arial"/>
        </w:rPr>
        <w:t>enter into</w:t>
      </w:r>
      <w:proofErr w:type="gramEnd"/>
      <w:r w:rsidRPr="00DA2669">
        <w:rPr>
          <w:rFonts w:ascii="Arial" w:hAnsi="Arial" w:cs="Arial"/>
        </w:rPr>
        <w:t xml:space="preserve"> “one-sided” contracts with them.</w:t>
      </w:r>
      <w:r>
        <w:rPr>
          <w:rStyle w:val="FootnoteReference"/>
          <w:rFonts w:ascii="Arial" w:hAnsi="Arial" w:cs="Arial"/>
        </w:rPr>
        <w:footnoteReference w:id="8"/>
      </w:r>
    </w:p>
    <w:p w:rsidR="00F0676C" w:rsidRPr="00F0676C" w:rsidRDefault="00F0676C" w:rsidP="00F0676C">
      <w:pPr>
        <w:pStyle w:val="ListParagraph"/>
        <w:rPr>
          <w:rFonts w:asciiTheme="minorBidi" w:hAnsiTheme="minorBidi"/>
        </w:rPr>
      </w:pPr>
    </w:p>
    <w:p w:rsidR="00F0676C" w:rsidRPr="00F0676C" w:rsidRDefault="00F0676C" w:rsidP="00F0676C">
      <w:pPr>
        <w:rPr>
          <w:rFonts w:asciiTheme="minorBidi" w:hAnsiTheme="minorBidi"/>
          <w:b/>
          <w:bCs/>
          <w:i/>
          <w:iCs/>
        </w:rPr>
      </w:pPr>
      <w:r w:rsidRPr="00F0676C">
        <w:rPr>
          <w:rFonts w:asciiTheme="minorBidi" w:hAnsiTheme="minorBidi"/>
          <w:b/>
          <w:bCs/>
          <w:i/>
          <w:iCs/>
        </w:rPr>
        <w:t>Assetization of Video Games</w:t>
      </w:r>
    </w:p>
    <w:p w:rsidR="00F0676C" w:rsidRPr="00E25588" w:rsidRDefault="00F0676C" w:rsidP="00F0676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="Arial" w:hAnsi="Arial" w:cs="Arial"/>
        </w:rPr>
        <w:t>The growth of smartphones as platforms for gaming combined with the rise of the free-to-play model has led to “new indirect monetization models [that earn] most of the gaming industry’s revenue”</w:t>
      </w:r>
      <w:r>
        <w:rPr>
          <w:rStyle w:val="FootnoteReference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 </w:t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Pr="00E25588" w:rsidRDefault="00E25588" w:rsidP="00F0676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="Arial" w:hAnsi="Arial" w:cs="Arial"/>
        </w:rPr>
        <w:t xml:space="preserve">This new monetization model is referred to as the </w:t>
      </w:r>
      <w:r w:rsidRPr="00E25588">
        <w:rPr>
          <w:rFonts w:ascii="Arial" w:hAnsi="Arial" w:cs="Arial"/>
          <w:b/>
          <w:bCs/>
          <w:i/>
          <w:iCs/>
        </w:rPr>
        <w:t xml:space="preserve">game as a service </w:t>
      </w:r>
      <w:r w:rsidRPr="00E25588">
        <w:rPr>
          <w:rFonts w:ascii="Arial" w:hAnsi="Arial" w:cs="Arial"/>
          <w:b/>
          <w:bCs/>
        </w:rPr>
        <w:t>(GaaS) model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10"/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Pr="00E25588" w:rsidRDefault="00E25588" w:rsidP="00F0676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7A4B49">
        <w:rPr>
          <w:rFonts w:ascii="Arial" w:hAnsi="Arial" w:cs="Arial"/>
        </w:rPr>
        <w:t xml:space="preserve">Bernevega </w:t>
      </w:r>
      <w:r>
        <w:rPr>
          <w:rFonts w:ascii="Arial" w:hAnsi="Arial" w:cs="Arial"/>
        </w:rPr>
        <w:t>and</w:t>
      </w:r>
      <w:r w:rsidRPr="007A4B49">
        <w:rPr>
          <w:rFonts w:ascii="Arial" w:hAnsi="Arial" w:cs="Arial"/>
        </w:rPr>
        <w:t xml:space="preserve"> Gekker</w:t>
      </w:r>
      <w:r>
        <w:rPr>
          <w:rFonts w:ascii="Arial" w:hAnsi="Arial" w:cs="Arial"/>
        </w:rPr>
        <w:t xml:space="preserve"> posit that the economy of videogames has followed capitalism’s “shift toward assetization” or </w:t>
      </w:r>
      <w:r w:rsidRPr="00E25588">
        <w:rPr>
          <w:rFonts w:ascii="Arial" w:hAnsi="Arial" w:cs="Arial"/>
          <w:b/>
          <w:bCs/>
          <w:i/>
          <w:iCs/>
        </w:rPr>
        <w:t>rentiership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i.e.,</w:t>
      </w:r>
      <w:r>
        <w:rPr>
          <w:rFonts w:ascii="Arial" w:hAnsi="Arial" w:cs="Arial"/>
        </w:rPr>
        <w:t xml:space="preserve"> generating revenue from resources without sale).</w:t>
      </w:r>
      <w:r>
        <w:rPr>
          <w:rStyle w:val="FootnoteReference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 In free-to-play games where a monetary rent is not directly paid, players often pay a </w:t>
      </w:r>
      <w:r w:rsidRPr="00E25588">
        <w:rPr>
          <w:rFonts w:ascii="Arial" w:hAnsi="Arial" w:cs="Arial"/>
          <w:b/>
          <w:bCs/>
          <w:i/>
          <w:iCs/>
        </w:rPr>
        <w:t>data rent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in other words, they sell their personal data, in effect, becoming the asset themselves.</w:t>
      </w:r>
      <w:r>
        <w:rPr>
          <w:rStyle w:val="FootnoteReference"/>
          <w:rFonts w:ascii="Arial" w:hAnsi="Arial" w:cs="Arial"/>
        </w:rPr>
        <w:footnoteReference w:id="12"/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Default="00E25588" w:rsidP="00F0676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Problem? Left unchecked, these revenue generating tools can exploit vulnerabilities </w:t>
      </w:r>
      <w:r w:rsidRPr="00E25588">
        <w:rPr>
          <w:rFonts w:asciiTheme="minorBidi" w:hAnsiTheme="minorBidi"/>
        </w:rPr>
        <w:sym w:font="Wingdings" w:char="F0E0"/>
      </w:r>
      <w:r>
        <w:rPr>
          <w:rFonts w:asciiTheme="minorBidi" w:hAnsiTheme="minorBidi"/>
        </w:rPr>
        <w:t xml:space="preserve"> see </w:t>
      </w:r>
      <w:r w:rsidRPr="00E25588">
        <w:rPr>
          <w:rFonts w:asciiTheme="minorBidi" w:hAnsiTheme="minorBidi"/>
          <w:b/>
          <w:bCs/>
          <w:i/>
          <w:iCs/>
        </w:rPr>
        <w:t>loot boxes</w:t>
      </w:r>
      <w:r>
        <w:rPr>
          <w:rFonts w:asciiTheme="minorBidi" w:hAnsiTheme="minorBidi"/>
          <w:i/>
          <w:iCs/>
        </w:rPr>
        <w:t xml:space="preserve"> </w:t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Pr="00E25588" w:rsidRDefault="00E25588" w:rsidP="00E25588">
      <w:pPr>
        <w:pStyle w:val="ListParagraph"/>
        <w:numPr>
          <w:ilvl w:val="1"/>
          <w:numId w:val="6"/>
        </w:numPr>
        <w:rPr>
          <w:rFonts w:asciiTheme="minorBidi" w:hAnsiTheme="minorBidi"/>
        </w:rPr>
      </w:pPr>
      <w:r>
        <w:rPr>
          <w:rFonts w:ascii="Arial" w:hAnsi="Arial" w:cs="Arial"/>
        </w:rPr>
        <w:t xml:space="preserve">Loot boxes in the context of free-to-play games are </w:t>
      </w:r>
      <w:r>
        <w:rPr>
          <w:rFonts w:ascii="Arial" w:hAnsi="Arial" w:cs="Arial"/>
          <w:i/>
          <w:iCs/>
        </w:rPr>
        <w:t xml:space="preserve">rental devices </w:t>
      </w:r>
      <w:r>
        <w:rPr>
          <w:rFonts w:ascii="Arial" w:hAnsi="Arial" w:cs="Arial"/>
        </w:rPr>
        <w:t>purchased with real-world or virtual in-game currency</w:t>
      </w:r>
      <w:r>
        <w:rPr>
          <w:rStyle w:val="FootnoteReference"/>
          <w:rFonts w:ascii="Arial" w:hAnsi="Arial" w:cs="Arial"/>
        </w:rPr>
        <w:footnoteReference w:id="13"/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that “provide players with a randomized reward of uncertain value to be used in the game.”</w:t>
      </w:r>
      <w:r>
        <w:rPr>
          <w:rStyle w:val="FootnoteReference"/>
          <w:rFonts w:ascii="Arial" w:hAnsi="Arial" w:cs="Arial"/>
        </w:rPr>
        <w:footnoteReference w:id="14"/>
      </w:r>
    </w:p>
    <w:p w:rsidR="00E25588" w:rsidRPr="00E25588" w:rsidRDefault="00E25588" w:rsidP="00E25588">
      <w:pPr>
        <w:pStyle w:val="ListParagraph"/>
        <w:ind w:left="1440"/>
        <w:rPr>
          <w:rFonts w:asciiTheme="minorBidi" w:hAnsiTheme="minorBidi"/>
        </w:rPr>
      </w:pPr>
    </w:p>
    <w:p w:rsidR="00E25588" w:rsidRPr="00E25588" w:rsidRDefault="00E25588" w:rsidP="00E25588">
      <w:pPr>
        <w:pStyle w:val="ListParagraph"/>
        <w:numPr>
          <w:ilvl w:val="1"/>
          <w:numId w:val="6"/>
        </w:numPr>
        <w:rPr>
          <w:rFonts w:asciiTheme="minorBidi" w:hAnsiTheme="minorBidi"/>
        </w:rPr>
      </w:pPr>
      <w:r>
        <w:rPr>
          <w:rFonts w:ascii="Arial" w:hAnsi="Arial" w:cs="Arial"/>
        </w:rPr>
        <w:t>Loot boxes have been described as “</w:t>
      </w:r>
      <w:r w:rsidRPr="00E25588">
        <w:rPr>
          <w:rFonts w:ascii="Arial" w:hAnsi="Arial" w:cs="Arial"/>
          <w:b/>
          <w:bCs/>
        </w:rPr>
        <w:t>predatory, manipulative, unfair, and exploitative of the player, creating an environment through psychological and data manipulation</w:t>
      </w:r>
      <w:r>
        <w:rPr>
          <w:rFonts w:ascii="Arial" w:hAnsi="Arial" w:cs="Arial"/>
        </w:rPr>
        <w:t xml:space="preserve"> where players are more likely to make maladaptive purchasing decisions.”</w:t>
      </w:r>
      <w:r>
        <w:rPr>
          <w:rStyle w:val="FootnoteReference"/>
          <w:rFonts w:ascii="Arial" w:hAnsi="Arial" w:cs="Arial"/>
        </w:rPr>
        <w:footnoteReference w:id="15"/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Pr="00E25588" w:rsidRDefault="00E25588" w:rsidP="00E25588">
      <w:pPr>
        <w:pStyle w:val="ListParagraph"/>
        <w:numPr>
          <w:ilvl w:val="1"/>
          <w:numId w:val="6"/>
        </w:numPr>
        <w:rPr>
          <w:rFonts w:asciiTheme="minorBidi" w:hAnsiTheme="minorBidi"/>
        </w:rPr>
      </w:pPr>
      <w:r>
        <w:rPr>
          <w:rFonts w:ascii="Arial" w:hAnsi="Arial" w:cs="Arial"/>
        </w:rPr>
        <w:lastRenderedPageBreak/>
        <w:t>“Quasi-gambling activities at an early age may constitute a gateway to disordered gambling activity…causing significant harm to children resulting in professional treatment being needed.”</w:t>
      </w:r>
      <w:r>
        <w:rPr>
          <w:rStyle w:val="FootnoteReference"/>
          <w:rFonts w:ascii="Arial" w:hAnsi="Arial" w:cs="Arial"/>
        </w:rPr>
        <w:footnoteReference w:id="16"/>
      </w:r>
    </w:p>
    <w:p w:rsidR="00E25588" w:rsidRPr="00E25588" w:rsidRDefault="00E25588" w:rsidP="00E25588">
      <w:pPr>
        <w:pStyle w:val="ListParagraph"/>
        <w:rPr>
          <w:rFonts w:asciiTheme="minorBidi" w:hAnsiTheme="minorBidi"/>
        </w:rPr>
      </w:pPr>
    </w:p>
    <w:p w:rsidR="00E25588" w:rsidRPr="00E25588" w:rsidRDefault="00E25588" w:rsidP="00E25588">
      <w:pPr>
        <w:rPr>
          <w:rFonts w:asciiTheme="minorBidi" w:hAnsiTheme="minorBidi"/>
          <w:b/>
          <w:bCs/>
          <w:i/>
          <w:iCs/>
        </w:rPr>
      </w:pPr>
      <w:r w:rsidRPr="00E25588">
        <w:rPr>
          <w:rFonts w:asciiTheme="minorBidi" w:hAnsiTheme="minorBidi"/>
          <w:b/>
          <w:bCs/>
          <w:i/>
          <w:iCs/>
        </w:rPr>
        <w:t>Health &amp; Harm</w:t>
      </w:r>
    </w:p>
    <w:p w:rsidR="000D0002" w:rsidRPr="00AF4FD0" w:rsidRDefault="00E25588" w:rsidP="00E25588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</w:rPr>
      </w:pPr>
      <w:r>
        <w:rPr>
          <w:rFonts w:ascii="Arial" w:hAnsi="Arial" w:cs="Arial"/>
        </w:rPr>
        <w:t>According to Griffiths, approximately 7 to 11% of gamers “seem to be having real problems to the point that they are considered pathological gamers.”</w:t>
      </w:r>
      <w:r>
        <w:rPr>
          <w:rStyle w:val="FootnoteReference"/>
          <w:rFonts w:ascii="Arial" w:hAnsi="Arial" w:cs="Arial"/>
        </w:rPr>
        <w:footnoteReference w:id="17"/>
      </w:r>
    </w:p>
    <w:p w:rsidR="00AF4FD0" w:rsidRPr="00AF4FD0" w:rsidRDefault="00AF4FD0" w:rsidP="00AF4FD0">
      <w:pPr>
        <w:pStyle w:val="ListParagraph"/>
        <w:ind w:left="780"/>
        <w:rPr>
          <w:rFonts w:asciiTheme="minorBidi" w:hAnsiTheme="minorBidi"/>
          <w:b/>
          <w:bCs/>
        </w:rPr>
      </w:pPr>
    </w:p>
    <w:p w:rsidR="00AF4FD0" w:rsidRPr="00AF4FD0" w:rsidRDefault="00AF4FD0" w:rsidP="00E25588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</w:rPr>
      </w:pPr>
      <w:r>
        <w:rPr>
          <w:rFonts w:ascii="Arial" w:hAnsi="Arial" w:cs="Arial"/>
        </w:rPr>
        <w:t>Excessive gaming may have adverse effects on psychosocial health (e.g., cognitive development, learning and social development).</w:t>
      </w:r>
      <w:r>
        <w:rPr>
          <w:rStyle w:val="FootnoteReference"/>
          <w:rFonts w:ascii="Arial" w:hAnsi="Arial" w:cs="Arial"/>
        </w:rPr>
        <w:footnoteReference w:id="18"/>
      </w:r>
    </w:p>
    <w:p w:rsidR="00AF4FD0" w:rsidRPr="00AF4FD0" w:rsidRDefault="00AF4FD0" w:rsidP="00AF4FD0">
      <w:pPr>
        <w:pStyle w:val="ListParagraph"/>
        <w:rPr>
          <w:rFonts w:asciiTheme="minorBidi" w:hAnsiTheme="minorBidi"/>
          <w:b/>
          <w:bCs/>
        </w:rPr>
      </w:pPr>
    </w:p>
    <w:p w:rsidR="00AF4FD0" w:rsidRPr="00AF4FD0" w:rsidRDefault="00AF4FD0" w:rsidP="00E25588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Problem? Developers designing mechanics such as loot boxes “</w:t>
      </w:r>
      <w:r>
        <w:rPr>
          <w:rFonts w:ascii="Arial" w:hAnsi="Arial" w:cs="Arial"/>
        </w:rPr>
        <w:t>have cultivated an environment that promotes addictive behaviours.”</w:t>
      </w:r>
      <w:r>
        <w:rPr>
          <w:rStyle w:val="FootnoteReference"/>
          <w:rFonts w:ascii="Arial" w:hAnsi="Arial" w:cs="Arial"/>
        </w:rPr>
        <w:footnoteReference w:id="19"/>
      </w:r>
    </w:p>
    <w:p w:rsidR="00AF4FD0" w:rsidRPr="00AF4FD0" w:rsidRDefault="00AF4FD0" w:rsidP="00AF4FD0">
      <w:pPr>
        <w:pStyle w:val="ListParagraph"/>
        <w:rPr>
          <w:rFonts w:asciiTheme="minorBidi" w:hAnsiTheme="minorBidi"/>
          <w:b/>
          <w:bCs/>
        </w:rPr>
      </w:pPr>
    </w:p>
    <w:p w:rsidR="00AF4FD0" w:rsidRPr="00AF4FD0" w:rsidRDefault="00AF4FD0" w:rsidP="00E25588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The case of </w:t>
      </w:r>
      <w:r>
        <w:rPr>
          <w:rFonts w:asciiTheme="minorBidi" w:hAnsiTheme="minorBidi"/>
          <w:i/>
          <w:iCs/>
        </w:rPr>
        <w:t xml:space="preserve">Fortnite </w:t>
      </w:r>
      <w:r w:rsidRPr="00AF4FD0">
        <w:rPr>
          <w:rFonts w:asciiTheme="minorBidi" w:hAnsiTheme="minorBidi"/>
        </w:rPr>
        <w:sym w:font="Wingdings" w:char="F0E0"/>
      </w:r>
      <w:r>
        <w:rPr>
          <w:rFonts w:asciiTheme="minorBidi" w:hAnsiTheme="minorBidi"/>
        </w:rPr>
        <w:t xml:space="preserve"> </w:t>
      </w:r>
      <w:r>
        <w:rPr>
          <w:rFonts w:ascii="Arial" w:hAnsi="Arial" w:cs="Arial"/>
          <w:iCs/>
        </w:rPr>
        <w:t xml:space="preserve">Sax and Ausloos identify two trends related to the sociocultural dominance of </w:t>
      </w:r>
      <w:r>
        <w:rPr>
          <w:rFonts w:ascii="Arial" w:hAnsi="Arial" w:cs="Arial"/>
          <w:i/>
        </w:rPr>
        <w:t>Fortnite</w:t>
      </w:r>
      <w:r>
        <w:rPr>
          <w:rFonts w:ascii="Arial" w:hAnsi="Arial" w:cs="Arial"/>
          <w:iCs/>
        </w:rPr>
        <w:t>: (1) it is actively “stimulating hyper-engagement through increasingly fine-grained social/psychological engineering”</w:t>
      </w:r>
      <w:r>
        <w:rPr>
          <w:rStyle w:val="FootnoteReference"/>
          <w:rFonts w:ascii="Arial" w:hAnsi="Arial" w:cs="Arial"/>
          <w:iCs/>
        </w:rPr>
        <w:footnoteReference w:id="20"/>
      </w:r>
      <w:r>
        <w:rPr>
          <w:rFonts w:ascii="Arial" w:hAnsi="Arial" w:cs="Arial"/>
          <w:iCs/>
        </w:rPr>
        <w:t xml:space="preserve">; and (2) </w:t>
      </w:r>
      <w:r>
        <w:rPr>
          <w:rFonts w:ascii="Arial" w:hAnsi="Arial" w:cs="Arial"/>
          <w:i/>
        </w:rPr>
        <w:t xml:space="preserve">Fortnite </w:t>
      </w:r>
      <w:r>
        <w:rPr>
          <w:rFonts w:ascii="Arial" w:hAnsi="Arial" w:cs="Arial"/>
          <w:iCs/>
        </w:rPr>
        <w:t>is “exploiting hyper-engagement for commercial gain.”</w:t>
      </w:r>
      <w:r>
        <w:rPr>
          <w:rStyle w:val="FootnoteReference"/>
          <w:rFonts w:ascii="Arial" w:hAnsi="Arial" w:cs="Arial"/>
          <w:iCs/>
        </w:rPr>
        <w:footnoteReference w:id="21"/>
      </w:r>
      <w:r>
        <w:rPr>
          <w:rFonts w:ascii="Arial" w:hAnsi="Arial" w:cs="Arial"/>
          <w:iCs/>
        </w:rPr>
        <w:t xml:space="preserve"> </w:t>
      </w:r>
    </w:p>
    <w:p w:rsidR="00AF4FD0" w:rsidRPr="00AF4FD0" w:rsidRDefault="00AF4FD0" w:rsidP="00AF4FD0">
      <w:pPr>
        <w:pStyle w:val="ListParagraph"/>
        <w:rPr>
          <w:rFonts w:asciiTheme="minorBidi" w:hAnsiTheme="minorBidi"/>
          <w:b/>
          <w:bCs/>
        </w:rPr>
      </w:pPr>
    </w:p>
    <w:p w:rsidR="00AF4FD0" w:rsidRDefault="00AF4FD0" w:rsidP="00AF4FD0">
      <w:pPr>
        <w:shd w:val="clear" w:color="auto" w:fill="D9E2F3" w:themeFill="accent1" w:themeFillTint="33"/>
        <w:rPr>
          <w:rFonts w:asciiTheme="minorBidi" w:hAnsiTheme="minorBidi"/>
          <w:b/>
          <w:bCs/>
          <w:sz w:val="24"/>
          <w:szCs w:val="24"/>
        </w:rPr>
      </w:pPr>
      <w:r w:rsidRPr="00AF4FD0">
        <w:rPr>
          <w:rFonts w:asciiTheme="minorBidi" w:hAnsiTheme="minorBidi"/>
          <w:b/>
          <w:bCs/>
          <w:sz w:val="24"/>
          <w:szCs w:val="24"/>
        </w:rPr>
        <w:t>Corporate Social Responsibility as a Response</w:t>
      </w:r>
      <w:r w:rsidR="00D07448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D07448" w:rsidRPr="00D07448" w:rsidRDefault="00D07448" w:rsidP="00AF4FD0">
      <w:pPr>
        <w:tabs>
          <w:tab w:val="left" w:pos="1035"/>
        </w:tabs>
        <w:rPr>
          <w:rFonts w:asciiTheme="minorBidi" w:hAnsiTheme="minorBidi"/>
        </w:rPr>
      </w:pPr>
      <w:r w:rsidRPr="00D07448">
        <w:rPr>
          <w:rFonts w:asciiTheme="minorBidi" w:hAnsiTheme="minorBidi"/>
          <w:b/>
          <w:bCs/>
        </w:rPr>
        <w:t>Legal Analogies</w:t>
      </w:r>
      <w:r>
        <w:rPr>
          <w:rFonts w:asciiTheme="minorBidi" w:hAnsiTheme="minorBidi"/>
          <w:b/>
          <w:bCs/>
        </w:rPr>
        <w:t xml:space="preserve"> </w:t>
      </w:r>
      <w:r w:rsidRPr="00D07448">
        <w:rPr>
          <w:rFonts w:asciiTheme="minorBidi" w:hAnsiTheme="minorBidi"/>
        </w:rPr>
        <w:sym w:font="Wingdings" w:char="F0E0"/>
      </w:r>
      <w:r>
        <w:rPr>
          <w:rFonts w:asciiTheme="minorBidi" w:hAnsiTheme="minorBidi"/>
        </w:rPr>
        <w:t xml:space="preserve"> Seeing the videogame player</w:t>
      </w:r>
      <w:r w:rsidR="00CD1563">
        <w:rPr>
          <w:rFonts w:asciiTheme="minorBidi" w:hAnsiTheme="minorBidi"/>
        </w:rPr>
        <w:t xml:space="preserve"> and the metaverse as corporate stakeholders </w:t>
      </w:r>
    </w:p>
    <w:p w:rsidR="00AF4FD0" w:rsidRPr="00CD1563" w:rsidRDefault="00D07448" w:rsidP="00CD1563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 w:rsidRPr="00CD1563">
        <w:rPr>
          <w:rFonts w:asciiTheme="minorBidi" w:hAnsiTheme="minorBidi"/>
        </w:rPr>
        <w:t xml:space="preserve">Section 122(1) of the </w:t>
      </w:r>
      <w:r w:rsidRPr="00CD1563">
        <w:rPr>
          <w:rFonts w:asciiTheme="minorBidi" w:hAnsiTheme="minorBidi"/>
          <w:i/>
          <w:iCs/>
        </w:rPr>
        <w:t xml:space="preserve">Canada Business Corporations Act </w:t>
      </w:r>
      <w:r w:rsidRPr="00CD1563">
        <w:rPr>
          <w:rFonts w:asciiTheme="minorBidi" w:hAnsiTheme="minorBidi"/>
        </w:rPr>
        <w:t>(“</w:t>
      </w:r>
      <w:r w:rsidRPr="00CD1563">
        <w:rPr>
          <w:rFonts w:asciiTheme="minorBidi" w:hAnsiTheme="minorBidi"/>
          <w:i/>
          <w:iCs/>
        </w:rPr>
        <w:t>CBCA</w:t>
      </w:r>
      <w:r w:rsidRPr="00CD1563">
        <w:rPr>
          <w:rFonts w:asciiTheme="minorBidi" w:hAnsiTheme="minorBidi"/>
        </w:rPr>
        <w:t xml:space="preserve">”) statutorily imposes a </w:t>
      </w:r>
      <w:r w:rsidRPr="00CD1563">
        <w:rPr>
          <w:rFonts w:asciiTheme="minorBidi" w:hAnsiTheme="minorBidi"/>
          <w:b/>
          <w:bCs/>
        </w:rPr>
        <w:t>duty of loyalty and duty of care</w:t>
      </w:r>
      <w:r w:rsidRPr="00CD1563">
        <w:rPr>
          <w:rFonts w:asciiTheme="minorBidi" w:hAnsiTheme="minorBidi"/>
        </w:rPr>
        <w:t xml:space="preserve"> on directors and officers in exercising their decision making.</w:t>
      </w:r>
      <w:r>
        <w:rPr>
          <w:rStyle w:val="FootnoteReference"/>
          <w:rFonts w:asciiTheme="minorBidi" w:hAnsiTheme="minorBidi"/>
        </w:rPr>
        <w:footnoteReference w:id="22"/>
      </w:r>
    </w:p>
    <w:p w:rsidR="00CD1563" w:rsidRPr="00CD1563" w:rsidRDefault="00CD1563" w:rsidP="00CD1563">
      <w:pPr>
        <w:pStyle w:val="ListParagraph"/>
        <w:tabs>
          <w:tab w:val="left" w:pos="1035"/>
        </w:tabs>
        <w:rPr>
          <w:rFonts w:asciiTheme="minorBidi" w:hAnsiTheme="minorBidi"/>
          <w:sz w:val="24"/>
          <w:szCs w:val="24"/>
        </w:rPr>
      </w:pPr>
    </w:p>
    <w:p w:rsidR="00CD1563" w:rsidRPr="00CD1563" w:rsidRDefault="00CD1563" w:rsidP="00CD1563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Subsection (a) states these duties shall be discharged with a view to the </w:t>
      </w:r>
      <w:r w:rsidRPr="00CD1563">
        <w:rPr>
          <w:rFonts w:asciiTheme="minorBidi" w:hAnsiTheme="minorBidi"/>
          <w:b/>
          <w:bCs/>
        </w:rPr>
        <w:t>best interests of the corporation</w:t>
      </w:r>
      <w:r>
        <w:rPr>
          <w:rFonts w:asciiTheme="minorBidi" w:hAnsiTheme="minorBidi"/>
        </w:rPr>
        <w:t>.</w:t>
      </w:r>
      <w:r>
        <w:rPr>
          <w:rStyle w:val="FootnoteReference"/>
          <w:rFonts w:asciiTheme="minorBidi" w:hAnsiTheme="minorBidi"/>
        </w:rPr>
        <w:footnoteReference w:id="23"/>
      </w:r>
    </w:p>
    <w:p w:rsidR="00CD1563" w:rsidRPr="00CD1563" w:rsidRDefault="00CD1563" w:rsidP="00CD1563">
      <w:pPr>
        <w:pStyle w:val="ListParagraph"/>
        <w:rPr>
          <w:rFonts w:asciiTheme="minorBidi" w:hAnsiTheme="minorBidi"/>
          <w:sz w:val="24"/>
          <w:szCs w:val="24"/>
        </w:rPr>
      </w:pPr>
    </w:p>
    <w:p w:rsidR="00CD1563" w:rsidRPr="00CD1563" w:rsidRDefault="00CD1563" w:rsidP="00CD1563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“</w:t>
      </w:r>
      <w:r>
        <w:rPr>
          <w:rFonts w:asciiTheme="minorBidi" w:hAnsiTheme="minorBidi"/>
        </w:rPr>
        <w:t>Best</w:t>
      </w:r>
      <w:r>
        <w:rPr>
          <w:rFonts w:asciiTheme="minorBidi" w:hAnsiTheme="minorBidi"/>
        </w:rPr>
        <w:t xml:space="preserve"> interests” includes such factors as shareholders, employees, and the long-term interests of the corporation.</w:t>
      </w:r>
      <w:r>
        <w:rPr>
          <w:rStyle w:val="FootnoteReference"/>
          <w:rFonts w:asciiTheme="minorBidi" w:hAnsiTheme="minorBidi"/>
        </w:rPr>
        <w:footnoteReference w:id="24"/>
      </w:r>
    </w:p>
    <w:p w:rsidR="00CD1563" w:rsidRPr="00CD1563" w:rsidRDefault="00CD1563" w:rsidP="00CD1563">
      <w:pPr>
        <w:pStyle w:val="ListParagraph"/>
        <w:rPr>
          <w:rFonts w:asciiTheme="minorBidi" w:hAnsiTheme="minorBidi"/>
          <w:sz w:val="24"/>
          <w:szCs w:val="24"/>
        </w:rPr>
      </w:pPr>
    </w:p>
    <w:p w:rsidR="00CD1563" w:rsidRPr="00CD1563" w:rsidRDefault="00CD1563" w:rsidP="00CD1563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</w:rPr>
        <w:t>BCE Inc. v. 1976 Debentureholders</w:t>
      </w:r>
      <w:r>
        <w:rPr>
          <w:rStyle w:val="FootnoteReference"/>
          <w:rFonts w:asciiTheme="minorBidi" w:hAnsiTheme="minorBidi"/>
        </w:rPr>
        <w:footnoteReference w:id="25"/>
      </w:r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stands for the proposition that: </w:t>
      </w:r>
    </w:p>
    <w:p w:rsidR="00CD1563" w:rsidRPr="00CD1563" w:rsidRDefault="00CD1563" w:rsidP="00CD1563">
      <w:pPr>
        <w:pStyle w:val="ListParagraph"/>
        <w:rPr>
          <w:rFonts w:asciiTheme="minorBidi" w:hAnsiTheme="minorBidi"/>
        </w:rPr>
      </w:pPr>
    </w:p>
    <w:p w:rsidR="00CD1563" w:rsidRPr="00CD1563" w:rsidRDefault="00CD1563" w:rsidP="00CD1563">
      <w:pPr>
        <w:pStyle w:val="ListParagraph"/>
        <w:numPr>
          <w:ilvl w:val="1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in discharging their duties to the corporation, managers are not confined to share value, the context of the </w:t>
      </w:r>
      <w:r w:rsidRPr="00CD1563">
        <w:rPr>
          <w:rFonts w:asciiTheme="minorBidi" w:hAnsiTheme="minorBidi"/>
          <w:b/>
          <w:bCs/>
        </w:rPr>
        <w:t>duty can vary depending on the situation</w:t>
      </w:r>
      <w:r>
        <w:rPr>
          <w:rStyle w:val="FootnoteReference"/>
          <w:rFonts w:asciiTheme="minorBidi" w:hAnsiTheme="minorBidi"/>
        </w:rPr>
        <w:footnoteReference w:id="26"/>
      </w:r>
      <w:r>
        <w:rPr>
          <w:rFonts w:asciiTheme="minorBidi" w:hAnsiTheme="minorBidi"/>
        </w:rPr>
        <w:t>;</w:t>
      </w:r>
    </w:p>
    <w:p w:rsidR="00CD1563" w:rsidRPr="00CD1563" w:rsidRDefault="00CD1563" w:rsidP="00CD1563">
      <w:pPr>
        <w:pStyle w:val="ListParagraph"/>
        <w:tabs>
          <w:tab w:val="left" w:pos="1035"/>
        </w:tabs>
        <w:ind w:left="1440"/>
        <w:rPr>
          <w:rFonts w:asciiTheme="minorBidi" w:hAnsiTheme="minorBidi"/>
          <w:sz w:val="24"/>
          <w:szCs w:val="24"/>
        </w:rPr>
      </w:pPr>
    </w:p>
    <w:p w:rsidR="00CD1563" w:rsidRPr="00CD1563" w:rsidRDefault="00CD1563" w:rsidP="00CD1563">
      <w:pPr>
        <w:pStyle w:val="ListParagraph"/>
        <w:numPr>
          <w:ilvl w:val="1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directors </w:t>
      </w:r>
      <w:r>
        <w:rPr>
          <w:rFonts w:asciiTheme="minorBidi" w:hAnsiTheme="minorBidi"/>
        </w:rPr>
        <w:t>are</w:t>
      </w:r>
      <w:r>
        <w:rPr>
          <w:rFonts w:asciiTheme="minorBidi" w:hAnsiTheme="minorBidi"/>
        </w:rPr>
        <w:t xml:space="preserve"> required to act in the best interests of the company “viewed as a </w:t>
      </w:r>
      <w:r w:rsidRPr="00CD1563">
        <w:rPr>
          <w:rFonts w:asciiTheme="minorBidi" w:hAnsiTheme="minorBidi"/>
          <w:b/>
          <w:bCs/>
        </w:rPr>
        <w:t>good corporate citizen</w:t>
      </w:r>
      <w:r>
        <w:rPr>
          <w:rFonts w:asciiTheme="minorBidi" w:hAnsiTheme="minorBidi"/>
        </w:rPr>
        <w:t>” and “commensurate with the corporation’s duties as a responsible corporate citizen”</w:t>
      </w:r>
      <w:r>
        <w:rPr>
          <w:rStyle w:val="FootnoteReference"/>
          <w:rFonts w:asciiTheme="minorBidi" w:hAnsiTheme="minorBidi"/>
        </w:rPr>
        <w:footnoteReference w:id="27"/>
      </w:r>
      <w:r>
        <w:rPr>
          <w:rFonts w:asciiTheme="minorBidi" w:hAnsiTheme="minorBidi"/>
        </w:rPr>
        <w:t>; and</w:t>
      </w:r>
    </w:p>
    <w:p w:rsidR="00CD1563" w:rsidRPr="00CD1563" w:rsidRDefault="00CD1563" w:rsidP="00CD1563">
      <w:pPr>
        <w:pStyle w:val="ListParagraph"/>
        <w:rPr>
          <w:rFonts w:asciiTheme="minorBidi" w:hAnsiTheme="minorBidi"/>
        </w:rPr>
      </w:pPr>
    </w:p>
    <w:p w:rsidR="00CD1563" w:rsidRPr="00BE6393" w:rsidRDefault="00CD1563" w:rsidP="00CD1563">
      <w:pPr>
        <w:pStyle w:val="ListParagraph"/>
        <w:numPr>
          <w:ilvl w:val="1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“</w:t>
      </w:r>
      <w:proofErr w:type="gramStart"/>
      <w:r w:rsidRPr="00CD1563">
        <w:rPr>
          <w:rFonts w:asciiTheme="minorBidi" w:hAnsiTheme="minorBidi"/>
          <w:b/>
          <w:bCs/>
        </w:rPr>
        <w:t>other</w:t>
      </w:r>
      <w:proofErr w:type="gramEnd"/>
      <w:r w:rsidRPr="00CD1563">
        <w:rPr>
          <w:rFonts w:asciiTheme="minorBidi" w:hAnsiTheme="minorBidi"/>
          <w:b/>
          <w:bCs/>
        </w:rPr>
        <w:t xml:space="preserve"> stakeholders</w:t>
      </w:r>
      <w:r w:rsidRPr="00CD1563">
        <w:rPr>
          <w:rFonts w:asciiTheme="minorBidi" w:hAnsiTheme="minorBidi"/>
        </w:rPr>
        <w:t xml:space="preserve">, irrespective of their contractual relationships with their company, </w:t>
      </w:r>
      <w:r w:rsidRPr="00CD1563">
        <w:rPr>
          <w:rFonts w:asciiTheme="minorBidi" w:hAnsiTheme="minorBidi"/>
          <w:b/>
          <w:bCs/>
        </w:rPr>
        <w:t>have an interest that needs to be protected</w:t>
      </w:r>
      <w:r w:rsidRPr="00CD1563">
        <w:rPr>
          <w:rFonts w:asciiTheme="minorBidi" w:hAnsiTheme="minorBidi"/>
        </w:rPr>
        <w:t>.”</w:t>
      </w:r>
      <w:r>
        <w:rPr>
          <w:rStyle w:val="FootnoteReference"/>
          <w:rFonts w:asciiTheme="minorBidi" w:hAnsiTheme="minorBidi"/>
        </w:rPr>
        <w:footnoteReference w:id="28"/>
      </w:r>
    </w:p>
    <w:p w:rsidR="00BE6393" w:rsidRPr="00BE6393" w:rsidRDefault="00BE6393" w:rsidP="00BE6393">
      <w:pPr>
        <w:pStyle w:val="ListParagraph"/>
        <w:rPr>
          <w:rFonts w:asciiTheme="minorBidi" w:hAnsiTheme="minorBidi"/>
          <w:sz w:val="24"/>
          <w:szCs w:val="24"/>
        </w:rPr>
      </w:pPr>
    </w:p>
    <w:p w:rsidR="00BE6393" w:rsidRPr="00CD1563" w:rsidRDefault="00BE6393" w:rsidP="00CD1563">
      <w:pPr>
        <w:pStyle w:val="ListParagraph"/>
        <w:numPr>
          <w:ilvl w:val="1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These three concepts may help analogize the corporate stakeholder model to players and metaverses</w:t>
      </w:r>
    </w:p>
    <w:p w:rsidR="00CD1563" w:rsidRPr="00CD1563" w:rsidRDefault="00CD1563" w:rsidP="00CD1563">
      <w:pPr>
        <w:pStyle w:val="ListParagraph"/>
        <w:rPr>
          <w:rFonts w:asciiTheme="minorBidi" w:hAnsiTheme="minorBidi"/>
          <w:sz w:val="24"/>
          <w:szCs w:val="24"/>
        </w:rPr>
      </w:pPr>
    </w:p>
    <w:p w:rsidR="00CD1563" w:rsidRPr="00BE6393" w:rsidRDefault="00BE6393" w:rsidP="00CD1563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To sum</w:t>
      </w:r>
      <w:r>
        <w:rPr>
          <w:rFonts w:asciiTheme="minorBidi" w:hAnsiTheme="minorBidi"/>
        </w:rPr>
        <w:t xml:space="preserve"> (1) the duty is contextual</w:t>
      </w:r>
      <w:r>
        <w:rPr>
          <w:rStyle w:val="FootnoteReference"/>
          <w:rFonts w:asciiTheme="minorBidi" w:hAnsiTheme="minorBidi"/>
        </w:rPr>
        <w:footnoteReference w:id="29"/>
      </w:r>
      <w:r>
        <w:rPr>
          <w:rFonts w:asciiTheme="minorBidi" w:hAnsiTheme="minorBidi"/>
        </w:rPr>
        <w:t xml:space="preserve">; (2) videogame players and metaverses have interests that need to be protected (as evidenced </w:t>
      </w:r>
      <w:r>
        <w:rPr>
          <w:rFonts w:asciiTheme="minorBidi" w:hAnsiTheme="minorBidi"/>
        </w:rPr>
        <w:t xml:space="preserve">by </w:t>
      </w:r>
      <w:r>
        <w:rPr>
          <w:rFonts w:asciiTheme="minorBidi" w:hAnsiTheme="minorBidi"/>
        </w:rPr>
        <w:t xml:space="preserve">case study); and (3) “best interests” imports </w:t>
      </w:r>
      <w:r>
        <w:rPr>
          <w:rFonts w:asciiTheme="minorBidi" w:hAnsiTheme="minorBidi"/>
        </w:rPr>
        <w:t>notions of</w:t>
      </w:r>
      <w:r>
        <w:rPr>
          <w:rFonts w:asciiTheme="minorBidi" w:hAnsiTheme="minorBidi"/>
        </w:rPr>
        <w:t xml:space="preserve"> good corporate citizenry.</w:t>
      </w:r>
      <w:r>
        <w:rPr>
          <w:rStyle w:val="FootnoteReference"/>
          <w:rFonts w:asciiTheme="minorBidi" w:hAnsiTheme="minorBidi"/>
        </w:rPr>
        <w:footnoteReference w:id="30"/>
      </w:r>
    </w:p>
    <w:p w:rsidR="00BE6393" w:rsidRPr="00CD1563" w:rsidRDefault="00BE6393" w:rsidP="00BE6393">
      <w:pPr>
        <w:pStyle w:val="ListParagraph"/>
        <w:tabs>
          <w:tab w:val="left" w:pos="1035"/>
        </w:tabs>
        <w:rPr>
          <w:rFonts w:asciiTheme="minorBidi" w:hAnsiTheme="minorBidi"/>
          <w:sz w:val="24"/>
          <w:szCs w:val="24"/>
        </w:rPr>
      </w:pPr>
    </w:p>
    <w:p w:rsidR="00BE6393" w:rsidRDefault="00BE6393" w:rsidP="00BE6393">
      <w:pPr>
        <w:tabs>
          <w:tab w:val="left" w:pos="1035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Corporate Social Responsibility in the Videogame Context</w:t>
      </w:r>
    </w:p>
    <w:p w:rsidR="00165018" w:rsidRPr="00165018" w:rsidRDefault="00BE6393" w:rsidP="00BE6393">
      <w:pPr>
        <w:pStyle w:val="ListParagraph"/>
        <w:numPr>
          <w:ilvl w:val="0"/>
          <w:numId w:val="10"/>
        </w:numPr>
        <w:tabs>
          <w:tab w:val="left" w:pos="103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</w:rPr>
        <w:t>“CSR is generally understood to be the way a company achieves a balance or integration of economic, environmental and social imperatives while at the same time addressing shareholder and stakeholder expectations.”</w:t>
      </w:r>
      <w:r>
        <w:rPr>
          <w:rStyle w:val="FootnoteReference"/>
          <w:rFonts w:asciiTheme="minorBidi" w:hAnsiTheme="minorBidi"/>
        </w:rPr>
        <w:footnoteReference w:id="31"/>
      </w:r>
      <w:r>
        <w:rPr>
          <w:rFonts w:asciiTheme="minorBidi" w:hAnsiTheme="minorBidi"/>
        </w:rPr>
        <w:t xml:space="preserve"> </w:t>
      </w:r>
    </w:p>
    <w:p w:rsidR="00165018" w:rsidRPr="00165018" w:rsidRDefault="00165018" w:rsidP="00165018">
      <w:pPr>
        <w:pStyle w:val="ListParagraph"/>
        <w:tabs>
          <w:tab w:val="left" w:pos="1035"/>
        </w:tabs>
        <w:rPr>
          <w:rFonts w:asciiTheme="minorBidi" w:hAnsiTheme="minorBidi"/>
          <w:b/>
          <w:bCs/>
          <w:sz w:val="24"/>
          <w:szCs w:val="24"/>
        </w:rPr>
      </w:pPr>
    </w:p>
    <w:p w:rsidR="00BE6393" w:rsidRPr="004C7F21" w:rsidRDefault="00165018" w:rsidP="00BE6393">
      <w:pPr>
        <w:pStyle w:val="ListParagraph"/>
        <w:numPr>
          <w:ilvl w:val="0"/>
          <w:numId w:val="10"/>
        </w:numPr>
        <w:tabs>
          <w:tab w:val="left" w:pos="103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</w:rPr>
        <w:t>Corporate social responsibility</w:t>
      </w:r>
      <w:r w:rsidR="00BE6393">
        <w:rPr>
          <w:rFonts w:asciiTheme="minorBidi" w:hAnsiTheme="minorBidi"/>
        </w:rPr>
        <w:t xml:space="preserve"> is a balancing act where the player and the metaverse can slot into especially when understanding the social and financial imperatives involved</w:t>
      </w:r>
    </w:p>
    <w:p w:rsidR="004C7F21" w:rsidRPr="004C7F21" w:rsidRDefault="004C7F21" w:rsidP="004C7F21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4C7F21" w:rsidRPr="00BE6393" w:rsidRDefault="004C7F21" w:rsidP="00BE6393">
      <w:pPr>
        <w:pStyle w:val="ListParagraph"/>
        <w:numPr>
          <w:ilvl w:val="0"/>
          <w:numId w:val="10"/>
        </w:numPr>
        <w:tabs>
          <w:tab w:val="left" w:pos="103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</w:rPr>
        <w:t xml:space="preserve">Others have illustrated examples of CSR in the videogame context. For instance, developer-corporations have acknowledged the harm loot boxes can cause and have even removed them instead allowing players to purchase the random rewards directly (e.g., </w:t>
      </w:r>
      <w:r>
        <w:rPr>
          <w:rFonts w:asciiTheme="minorBidi" w:hAnsiTheme="minorBidi"/>
          <w:i/>
          <w:iCs/>
        </w:rPr>
        <w:t xml:space="preserve">Turn 10 </w:t>
      </w:r>
      <w:r>
        <w:rPr>
          <w:rFonts w:asciiTheme="minorBidi" w:hAnsiTheme="minorBidi"/>
        </w:rPr>
        <w:t xml:space="preserve">removing loot boxes in </w:t>
      </w:r>
      <w:r>
        <w:rPr>
          <w:rFonts w:asciiTheme="minorBidi" w:hAnsiTheme="minorBidi"/>
          <w:i/>
          <w:iCs/>
        </w:rPr>
        <w:t>Forza Motorsport 7</w:t>
      </w:r>
      <w:r>
        <w:rPr>
          <w:rFonts w:asciiTheme="minorBidi" w:hAnsiTheme="minorBidi"/>
        </w:rPr>
        <w:t>).</w:t>
      </w:r>
      <w:r>
        <w:rPr>
          <w:rStyle w:val="FootnoteReference"/>
          <w:rFonts w:asciiTheme="minorBidi" w:hAnsiTheme="minorBidi"/>
        </w:rPr>
        <w:footnoteReference w:id="32"/>
      </w:r>
    </w:p>
    <w:sectPr w:rsidR="004C7F21" w:rsidRPr="00BE6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450" w:rsidRDefault="00CD4450" w:rsidP="0091049E">
      <w:pPr>
        <w:spacing w:after="0" w:line="240" w:lineRule="auto"/>
      </w:pPr>
      <w:r>
        <w:separator/>
      </w:r>
    </w:p>
  </w:endnote>
  <w:endnote w:type="continuationSeparator" w:id="0">
    <w:p w:rsidR="00CD4450" w:rsidRDefault="00CD4450" w:rsidP="0091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450" w:rsidRDefault="00CD4450" w:rsidP="0091049E">
      <w:pPr>
        <w:spacing w:after="0" w:line="240" w:lineRule="auto"/>
      </w:pPr>
      <w:r>
        <w:separator/>
      </w:r>
    </w:p>
  </w:footnote>
  <w:footnote w:type="continuationSeparator" w:id="0">
    <w:p w:rsidR="00CD4450" w:rsidRDefault="00CD4450" w:rsidP="0091049E">
      <w:pPr>
        <w:spacing w:after="0" w:line="240" w:lineRule="auto"/>
      </w:pPr>
      <w:r>
        <w:continuationSeparator/>
      </w:r>
    </w:p>
  </w:footnote>
  <w:footnote w:id="1">
    <w:p w:rsidR="0091049E" w:rsidRPr="00030065" w:rsidRDefault="0091049E" w:rsidP="0091049E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proofErr w:type="spellStart"/>
      <w:r w:rsidRPr="00030065">
        <w:rPr>
          <w:rFonts w:cstheme="minorHAnsi"/>
        </w:rPr>
        <w:t>Savvas</w:t>
      </w:r>
      <w:proofErr w:type="spellEnd"/>
      <w:r w:rsidRPr="00030065">
        <w:rPr>
          <w:rFonts w:cstheme="minorHAnsi"/>
        </w:rPr>
        <w:t xml:space="preserve"> Papagiannidis, Michael </w:t>
      </w:r>
      <w:proofErr w:type="spellStart"/>
      <w:r w:rsidRPr="00030065">
        <w:rPr>
          <w:rFonts w:cstheme="minorHAnsi"/>
        </w:rPr>
        <w:t>Bourlakis</w:t>
      </w:r>
      <w:proofErr w:type="spellEnd"/>
      <w:r w:rsidRPr="00030065">
        <w:rPr>
          <w:rFonts w:cstheme="minorHAnsi"/>
        </w:rPr>
        <w:t xml:space="preserve"> &amp; Feng Li, “Making real money in virtual worlds: MMORPS and emerging business opportunities, challenges and ethical implications in metaverses” (2007) 75 Technological Forecasting &amp; Social Change at </w:t>
      </w:r>
      <w:r>
        <w:rPr>
          <w:rFonts w:cstheme="minorHAnsi"/>
        </w:rPr>
        <w:t>610 at 611</w:t>
      </w:r>
      <w:r w:rsidRPr="00030065">
        <w:rPr>
          <w:rFonts w:cstheme="minorHAnsi"/>
        </w:rPr>
        <w:t xml:space="preserve"> [Papagiannidis et al.]. </w:t>
      </w:r>
      <w:r w:rsidRPr="00030065">
        <w:rPr>
          <w:rFonts w:cstheme="minorHAnsi"/>
          <w:i/>
          <w:iCs/>
        </w:rPr>
        <w:t xml:space="preserve"> </w:t>
      </w:r>
    </w:p>
  </w:footnote>
  <w:footnote w:id="2">
    <w:p w:rsidR="0091049E" w:rsidRPr="00030065" w:rsidRDefault="0091049E" w:rsidP="0091049E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bookmarkStart w:id="0" w:name="_Hlk118650971"/>
      <w:r w:rsidRPr="00030065">
        <w:rPr>
          <w:rFonts w:cstheme="minorHAnsi"/>
        </w:rPr>
        <w:t>Papagiannidis et al</w:t>
      </w:r>
      <w:bookmarkEnd w:id="0"/>
      <w:r w:rsidRPr="00030065">
        <w:rPr>
          <w:rFonts w:cstheme="minorHAnsi"/>
        </w:rPr>
        <w:t xml:space="preserve">, </w:t>
      </w:r>
      <w:r w:rsidRPr="00030065">
        <w:rPr>
          <w:rFonts w:cstheme="minorHAnsi"/>
          <w:i/>
          <w:iCs/>
        </w:rPr>
        <w:t xml:space="preserve">supra </w:t>
      </w:r>
      <w:r w:rsidRPr="00030065">
        <w:rPr>
          <w:rFonts w:cstheme="minorHAnsi"/>
        </w:rPr>
        <w:t xml:space="preserve">note 1 at 611. </w:t>
      </w:r>
    </w:p>
  </w:footnote>
  <w:footnote w:id="3">
    <w:p w:rsidR="0091049E" w:rsidRPr="00030065" w:rsidRDefault="0091049E" w:rsidP="0091049E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Ibid. </w:t>
      </w:r>
    </w:p>
  </w:footnote>
  <w:footnote w:id="4">
    <w:p w:rsidR="0091049E" w:rsidRPr="00030065" w:rsidRDefault="0091049E" w:rsidP="0091049E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proofErr w:type="spellStart"/>
      <w:r w:rsidRPr="00030065">
        <w:rPr>
          <w:rFonts w:cstheme="minorHAnsi"/>
        </w:rPr>
        <w:t>Shumaila</w:t>
      </w:r>
      <w:proofErr w:type="spellEnd"/>
      <w:r w:rsidRPr="00030065">
        <w:rPr>
          <w:rFonts w:cstheme="minorHAnsi"/>
        </w:rPr>
        <w:t xml:space="preserve"> Yousafzai, Zaheer Hussain &amp; Mark Griffiths, “Social responsibility in online videogaming: What should the videogame industry do?” (2014) 22:3 Addiction and Research Theory at 182 [Griffiths]. </w:t>
      </w:r>
    </w:p>
  </w:footnote>
  <w:footnote w:id="5">
    <w:p w:rsidR="000D0002" w:rsidRPr="00030065" w:rsidRDefault="000D0002" w:rsidP="000D0002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Papagiannidis et al., </w:t>
      </w:r>
      <w:r w:rsidRPr="00030065">
        <w:rPr>
          <w:rFonts w:cstheme="minorHAnsi"/>
          <w:i/>
          <w:iCs/>
        </w:rPr>
        <w:t xml:space="preserve">supra </w:t>
      </w:r>
      <w:r w:rsidRPr="00030065">
        <w:rPr>
          <w:rFonts w:cstheme="minorHAnsi"/>
        </w:rPr>
        <w:t>note 1 at 613.</w:t>
      </w:r>
    </w:p>
  </w:footnote>
  <w:footnote w:id="6">
    <w:p w:rsidR="003A35C2" w:rsidRPr="00030065" w:rsidRDefault="003A35C2" w:rsidP="003A35C2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proofErr w:type="spellStart"/>
      <w:r w:rsidRPr="00030065">
        <w:rPr>
          <w:rFonts w:cstheme="minorHAnsi"/>
        </w:rPr>
        <w:t>Jehnytssa</w:t>
      </w:r>
      <w:proofErr w:type="spellEnd"/>
      <w:r w:rsidRPr="00030065">
        <w:rPr>
          <w:rFonts w:cstheme="minorHAnsi"/>
        </w:rPr>
        <w:t xml:space="preserve"> Zetino, “Out of Their League: An Antitrust Analysis of Esports Players Associations and Attempts at Unionization” (2021) 58:3 </w:t>
      </w:r>
      <w:proofErr w:type="spellStart"/>
      <w:r w:rsidRPr="00030065">
        <w:rPr>
          <w:rFonts w:cstheme="minorHAnsi"/>
        </w:rPr>
        <w:t>Hous</w:t>
      </w:r>
      <w:proofErr w:type="spellEnd"/>
      <w:r w:rsidRPr="00030065">
        <w:rPr>
          <w:rFonts w:cstheme="minorHAnsi"/>
        </w:rPr>
        <w:t xml:space="preserve"> L Rev 777 at 779 [Zetino].</w:t>
      </w:r>
    </w:p>
  </w:footnote>
  <w:footnote w:id="7">
    <w:p w:rsidR="00F0676C" w:rsidRPr="00F0676C" w:rsidRDefault="00F0676C" w:rsidP="00F0676C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>at 780-781.</w:t>
      </w:r>
    </w:p>
  </w:footnote>
  <w:footnote w:id="8">
    <w:p w:rsidR="00F0676C" w:rsidRPr="00030065" w:rsidRDefault="00F0676C" w:rsidP="00F0676C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>at 784</w:t>
      </w:r>
    </w:p>
  </w:footnote>
  <w:footnote w:id="9">
    <w:p w:rsidR="00F0676C" w:rsidRPr="00030065" w:rsidRDefault="00F0676C" w:rsidP="00F0676C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Alexander Bernevega &amp; Alex Gekker, “The Industry of Landlords: Exploring the Assetization of the Triple-A Game” (2021) 17:1 Games and Culture 47 at 48 [Bernevega &amp; Gekker].</w:t>
      </w:r>
    </w:p>
  </w:footnote>
  <w:footnote w:id="10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 xml:space="preserve">at 50. </w:t>
      </w:r>
    </w:p>
  </w:footnote>
  <w:footnote w:id="11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 xml:space="preserve">at 51. </w:t>
      </w:r>
    </w:p>
  </w:footnote>
  <w:footnote w:id="12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 xml:space="preserve">at 52. </w:t>
      </w:r>
    </w:p>
  </w:footnote>
  <w:footnote w:id="13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Deirdre Leahy, “Rocking the boat: Loot Boxes in Online Digital Games, the Regulatory Challenge, and the EU’s Unfair Commercial Practices Directive” (2022) 45 Journal of Consumer Policy 561 at 563 [Leahy].</w:t>
      </w:r>
    </w:p>
  </w:footnote>
  <w:footnote w:id="14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Ibid. </w:t>
      </w:r>
    </w:p>
  </w:footnote>
  <w:footnote w:id="15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 xml:space="preserve">at 565. </w:t>
      </w:r>
    </w:p>
  </w:footnote>
  <w:footnote w:id="16">
    <w:p w:rsidR="00E25588" w:rsidRPr="00030065" w:rsidRDefault="00E25588" w:rsidP="00E25588">
      <w:pPr>
        <w:pStyle w:val="FootnoteText"/>
        <w:rPr>
          <w:rFonts w:cstheme="minorHAnsi"/>
          <w:i/>
          <w:iCs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Ibid. </w:t>
      </w:r>
    </w:p>
  </w:footnote>
  <w:footnote w:id="17">
    <w:p w:rsidR="00E25588" w:rsidRPr="00030065" w:rsidRDefault="00E25588" w:rsidP="00E2558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Mark Griffiths, “Call of Duty (of Care): Social Responsibility and the Videogame Industry” (February 2014), online: Game Developer &lt;https://www.gamedeveloper.com/business/call-of-duty-of-care-social-responsibility-and-the-videogame-industry&gt;</w:t>
      </w:r>
    </w:p>
  </w:footnote>
  <w:footnote w:id="18">
    <w:p w:rsidR="00AF4FD0" w:rsidRPr="00030065" w:rsidRDefault="00AF4FD0" w:rsidP="00AF4FD0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Sun-Jin Jo et al., “Moderating Effects of Depressive Symptoms and Self-Control Trait on the Association Between Problematic Internet Gaming and Time Spent” (2022) 25:4 Cyberpsychology, Behaviour and Social Networking 237 at 237 [Sun-Jin Jo et al.]</w:t>
      </w:r>
    </w:p>
  </w:footnote>
  <w:footnote w:id="19">
    <w:p w:rsidR="00AF4FD0" w:rsidRPr="00AF4FD0" w:rsidRDefault="00AF4FD0" w:rsidP="00AF4FD0">
      <w:pPr>
        <w:pStyle w:val="FootnoteText"/>
        <w:rPr>
          <w:rFonts w:cstheme="minorHAnsi"/>
          <w:i/>
          <w:iCs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Ibid. </w:t>
      </w:r>
    </w:p>
  </w:footnote>
  <w:footnote w:id="20">
    <w:p w:rsidR="00AF4FD0" w:rsidRPr="00030065" w:rsidRDefault="00AF4FD0" w:rsidP="00AF4FD0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 </w:t>
      </w:r>
      <w:r w:rsidRPr="00030065">
        <w:rPr>
          <w:rFonts w:cstheme="minorHAnsi"/>
        </w:rPr>
        <w:t xml:space="preserve">at 26. </w:t>
      </w:r>
    </w:p>
  </w:footnote>
  <w:footnote w:id="21">
    <w:p w:rsidR="00AF4FD0" w:rsidRPr="00030065" w:rsidRDefault="00AF4FD0" w:rsidP="00AF4FD0">
      <w:pPr>
        <w:pStyle w:val="FootnoteText"/>
        <w:rPr>
          <w:rFonts w:cstheme="minorHAnsi"/>
          <w:i/>
          <w:iCs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Ibid. </w:t>
      </w:r>
    </w:p>
  </w:footnote>
  <w:footnote w:id="22">
    <w:p w:rsidR="00D07448" w:rsidRPr="00030065" w:rsidRDefault="00D07448" w:rsidP="00D07448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>Canad</w:t>
      </w:r>
      <w:r>
        <w:rPr>
          <w:rFonts w:cstheme="minorHAnsi"/>
          <w:i/>
          <w:iCs/>
        </w:rPr>
        <w:t>a</w:t>
      </w:r>
      <w:r w:rsidRPr="00030065">
        <w:rPr>
          <w:rFonts w:cstheme="minorHAnsi"/>
          <w:i/>
          <w:iCs/>
        </w:rPr>
        <w:t xml:space="preserve"> Business Corporations Act, </w:t>
      </w:r>
      <w:r w:rsidRPr="00030065">
        <w:rPr>
          <w:rFonts w:cstheme="minorHAnsi"/>
        </w:rPr>
        <w:t xml:space="preserve">RSC 1985, c 44, s 122(1). </w:t>
      </w:r>
    </w:p>
  </w:footnote>
  <w:footnote w:id="23">
    <w:p w:rsidR="00CD1563" w:rsidRPr="00030065" w:rsidRDefault="00CD1563" w:rsidP="00CD1563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>Canad</w:t>
      </w:r>
      <w:r>
        <w:rPr>
          <w:rFonts w:cstheme="minorHAnsi"/>
          <w:i/>
          <w:iCs/>
        </w:rPr>
        <w:t>a</w:t>
      </w:r>
      <w:r w:rsidRPr="00030065">
        <w:rPr>
          <w:rFonts w:cstheme="minorHAnsi"/>
          <w:i/>
          <w:iCs/>
        </w:rPr>
        <w:t xml:space="preserve"> Business Corporations Act, </w:t>
      </w:r>
      <w:r w:rsidRPr="00030065">
        <w:rPr>
          <w:rFonts w:cstheme="minorHAnsi"/>
        </w:rPr>
        <w:t>RSC 1985, c 44, s 122(1)(b).</w:t>
      </w:r>
    </w:p>
  </w:footnote>
  <w:footnote w:id="24">
    <w:p w:rsidR="00CD1563" w:rsidRPr="00030065" w:rsidRDefault="00CD1563" w:rsidP="00CD1563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>Canad</w:t>
      </w:r>
      <w:r>
        <w:rPr>
          <w:rFonts w:cstheme="minorHAnsi"/>
          <w:i/>
          <w:iCs/>
        </w:rPr>
        <w:t>a</w:t>
      </w:r>
      <w:r w:rsidRPr="00030065">
        <w:rPr>
          <w:rFonts w:cstheme="minorHAnsi"/>
          <w:i/>
          <w:iCs/>
        </w:rPr>
        <w:t xml:space="preserve"> Business Corporations Act, </w:t>
      </w:r>
      <w:r w:rsidRPr="00030065">
        <w:rPr>
          <w:rFonts w:cstheme="minorHAnsi"/>
        </w:rPr>
        <w:t xml:space="preserve">RSC 1985, c 44, s 122(1.1) (a)-(c). </w:t>
      </w:r>
    </w:p>
  </w:footnote>
  <w:footnote w:id="25">
    <w:p w:rsidR="00CD1563" w:rsidRPr="00030065" w:rsidRDefault="00CD1563" w:rsidP="00CD1563">
      <w:pPr>
        <w:pStyle w:val="FootnoteText"/>
        <w:rPr>
          <w:rFonts w:cstheme="minorHAnsi"/>
        </w:rPr>
      </w:pPr>
      <w:r w:rsidRPr="00030065">
        <w:rPr>
          <w:rStyle w:val="FootnoteReference"/>
          <w:rFonts w:cstheme="minorHAnsi"/>
        </w:rPr>
        <w:footnoteRef/>
      </w:r>
      <w:r w:rsidRPr="00030065">
        <w:rPr>
          <w:rFonts w:cstheme="minorHAnsi"/>
        </w:rPr>
        <w:t xml:space="preserve"> </w:t>
      </w:r>
      <w:r w:rsidRPr="00030065">
        <w:rPr>
          <w:rFonts w:cstheme="minorHAnsi"/>
          <w:i/>
          <w:iCs/>
        </w:rPr>
        <w:t xml:space="preserve">BCE Inc. v. 1976 Debentureholders, </w:t>
      </w:r>
      <w:r w:rsidRPr="00030065">
        <w:rPr>
          <w:rFonts w:cstheme="minorHAnsi"/>
        </w:rPr>
        <w:t>2008 SCC 69, [2008] 3 SCR 560 [</w:t>
      </w:r>
      <w:r w:rsidRPr="00030065">
        <w:rPr>
          <w:rFonts w:cstheme="minorHAnsi"/>
          <w:i/>
          <w:iCs/>
        </w:rPr>
        <w:t>BCE</w:t>
      </w:r>
      <w:r w:rsidRPr="00030065">
        <w:rPr>
          <w:rFonts w:cstheme="minorHAnsi"/>
        </w:rPr>
        <w:t xml:space="preserve">]. </w:t>
      </w:r>
    </w:p>
  </w:footnote>
  <w:footnote w:id="26">
    <w:p w:rsidR="00CD1563" w:rsidRDefault="00CD15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0065">
        <w:rPr>
          <w:rFonts w:cstheme="minorHAnsi"/>
        </w:rPr>
        <w:t>Carol Liao, “A Canadian model of corporate governance” (2014)</w:t>
      </w:r>
      <w:r>
        <w:rPr>
          <w:rFonts w:cstheme="minorHAnsi"/>
        </w:rPr>
        <w:t xml:space="preserve"> 37:2 Dal LJ 559 at 575 [</w:t>
      </w:r>
      <w:r w:rsidRPr="009B4BD6">
        <w:rPr>
          <w:rFonts w:cstheme="minorHAnsi"/>
        </w:rPr>
        <w:t>Liao</w:t>
      </w:r>
      <w:r>
        <w:rPr>
          <w:rFonts w:cstheme="minorHAnsi"/>
        </w:rPr>
        <w:t>].</w:t>
      </w:r>
    </w:p>
  </w:footnote>
  <w:footnote w:id="27">
    <w:p w:rsidR="00CD1563" w:rsidRPr="0046121E" w:rsidRDefault="00CD1563" w:rsidP="00CD15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Ibid. </w:t>
      </w:r>
    </w:p>
  </w:footnote>
  <w:footnote w:id="28">
    <w:p w:rsidR="00CD1563" w:rsidRPr="0046121E" w:rsidRDefault="00CD1563" w:rsidP="00CD15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Ibid </w:t>
      </w:r>
      <w:r>
        <w:t xml:space="preserve">at 574. </w:t>
      </w:r>
    </w:p>
  </w:footnote>
  <w:footnote w:id="29">
    <w:p w:rsidR="00BE6393" w:rsidRPr="009B4BD6" w:rsidRDefault="00BE6393" w:rsidP="00BE6393">
      <w:pPr>
        <w:pStyle w:val="FootnoteText"/>
      </w:pPr>
      <w:r>
        <w:rPr>
          <w:rStyle w:val="FootnoteReference"/>
        </w:rPr>
        <w:footnoteRef/>
      </w:r>
      <w:r>
        <w:t xml:space="preserve"> Liao, </w:t>
      </w:r>
      <w:r>
        <w:rPr>
          <w:i/>
          <w:iCs/>
        </w:rPr>
        <w:t xml:space="preserve">supra </w:t>
      </w:r>
      <w:r>
        <w:t xml:space="preserve">note 71 at 575. </w:t>
      </w:r>
    </w:p>
  </w:footnote>
  <w:footnote w:id="30">
    <w:p w:rsidR="00BE6393" w:rsidRPr="009B4BD6" w:rsidRDefault="00BE6393" w:rsidP="00BE6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Ibid. </w:t>
      </w:r>
    </w:p>
  </w:footnote>
  <w:footnote w:id="31">
    <w:p w:rsidR="00BE6393" w:rsidRPr="00A009C7" w:rsidRDefault="00BE6393" w:rsidP="00BE6393">
      <w:pPr>
        <w:pStyle w:val="FootnoteText"/>
      </w:pPr>
      <w:r>
        <w:rPr>
          <w:rStyle w:val="FootnoteReference"/>
        </w:rPr>
        <w:footnoteRef/>
      </w:r>
      <w:r>
        <w:t xml:space="preserve"> Kerr, Richard &amp; Pitts, </w:t>
      </w:r>
      <w:r>
        <w:rPr>
          <w:i/>
          <w:iCs/>
        </w:rPr>
        <w:t xml:space="preserve">supra </w:t>
      </w:r>
      <w:r>
        <w:t xml:space="preserve">note 90 at X. </w:t>
      </w:r>
    </w:p>
  </w:footnote>
  <w:footnote w:id="32">
    <w:p w:rsidR="004C7F21" w:rsidRPr="008A4B49" w:rsidRDefault="004C7F21" w:rsidP="004C7F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0065">
        <w:rPr>
          <w:rFonts w:cstheme="minorHAnsi"/>
        </w:rPr>
        <w:t xml:space="preserve">Daniel James Harvey, “Should loot boxes be considered gambling or can Self-Regulation and Corporate Social Responsibility solve the loot box issue? A review of Current UK law and international legislation” (2021) 4:1 Interactive Entertainment Law Review 48 at </w:t>
      </w:r>
      <w:r>
        <w:t xml:space="preserve">60.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553"/>
    <w:multiLevelType w:val="hybridMultilevel"/>
    <w:tmpl w:val="21204E5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C717D5"/>
    <w:multiLevelType w:val="hybridMultilevel"/>
    <w:tmpl w:val="E2A21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3624"/>
    <w:multiLevelType w:val="hybridMultilevel"/>
    <w:tmpl w:val="5D3EA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5F72"/>
    <w:multiLevelType w:val="hybridMultilevel"/>
    <w:tmpl w:val="D040AAF6"/>
    <w:lvl w:ilvl="0" w:tplc="2910C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5882"/>
    <w:multiLevelType w:val="hybridMultilevel"/>
    <w:tmpl w:val="5E88DF84"/>
    <w:lvl w:ilvl="0" w:tplc="D7D805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4C8F"/>
    <w:multiLevelType w:val="hybridMultilevel"/>
    <w:tmpl w:val="D2243E56"/>
    <w:lvl w:ilvl="0" w:tplc="2910C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B32EB"/>
    <w:multiLevelType w:val="hybridMultilevel"/>
    <w:tmpl w:val="5798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4953"/>
    <w:multiLevelType w:val="hybridMultilevel"/>
    <w:tmpl w:val="90FA4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DE0"/>
    <w:multiLevelType w:val="hybridMultilevel"/>
    <w:tmpl w:val="95AE9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9AD"/>
    <w:multiLevelType w:val="hybridMultilevel"/>
    <w:tmpl w:val="71509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27775">
    <w:abstractNumId w:val="5"/>
  </w:num>
  <w:num w:numId="2" w16cid:durableId="790053481">
    <w:abstractNumId w:val="4"/>
  </w:num>
  <w:num w:numId="3" w16cid:durableId="2017951396">
    <w:abstractNumId w:val="3"/>
  </w:num>
  <w:num w:numId="4" w16cid:durableId="1586500682">
    <w:abstractNumId w:val="2"/>
  </w:num>
  <w:num w:numId="5" w16cid:durableId="1679503196">
    <w:abstractNumId w:val="1"/>
  </w:num>
  <w:num w:numId="6" w16cid:durableId="136650288">
    <w:abstractNumId w:val="6"/>
  </w:num>
  <w:num w:numId="7" w16cid:durableId="1217083382">
    <w:abstractNumId w:val="0"/>
  </w:num>
  <w:num w:numId="8" w16cid:durableId="1079986513">
    <w:abstractNumId w:val="7"/>
  </w:num>
  <w:num w:numId="9" w16cid:durableId="272519552">
    <w:abstractNumId w:val="8"/>
  </w:num>
  <w:num w:numId="10" w16cid:durableId="655688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E"/>
    <w:rsid w:val="000D0002"/>
    <w:rsid w:val="00165018"/>
    <w:rsid w:val="003A35C2"/>
    <w:rsid w:val="004C7F21"/>
    <w:rsid w:val="0091049E"/>
    <w:rsid w:val="00AF4FD0"/>
    <w:rsid w:val="00B01796"/>
    <w:rsid w:val="00BE6393"/>
    <w:rsid w:val="00CD1563"/>
    <w:rsid w:val="00CD4450"/>
    <w:rsid w:val="00D07448"/>
    <w:rsid w:val="00D477E0"/>
    <w:rsid w:val="00E25588"/>
    <w:rsid w:val="00F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B5B5"/>
  <w15:chartTrackingRefBased/>
  <w15:docId w15:val="{671FB2D3-ABC7-4B91-B0DA-D900A85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0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4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4C8E-1DD6-444A-8E70-B94BAE77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L A</cp:lastModifiedBy>
  <cp:revision>5</cp:revision>
  <dcterms:created xsi:type="dcterms:W3CDTF">2022-11-11T22:34:00Z</dcterms:created>
  <dcterms:modified xsi:type="dcterms:W3CDTF">2022-11-12T09:02:00Z</dcterms:modified>
</cp:coreProperties>
</file>